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857" w:rsidRDefault="00780857" w:rsidP="00780857">
      <w:pPr>
        <w:pStyle w:val="a6"/>
        <w:spacing w:after="0" w:line="276" w:lineRule="auto"/>
        <w:ind w:firstLine="0"/>
        <w:jc w:val="right"/>
        <w:rPr>
          <w:i/>
        </w:rPr>
      </w:pPr>
      <w:r>
        <w:rPr>
          <w:i/>
        </w:rPr>
        <w:t>Приложение №</w:t>
      </w:r>
      <w:r w:rsidR="00D33E13">
        <w:rPr>
          <w:i/>
        </w:rPr>
        <w:t xml:space="preserve"> </w:t>
      </w:r>
      <w:r>
        <w:rPr>
          <w:i/>
        </w:rPr>
        <w:t>3 к Документации о закупке</w:t>
      </w:r>
    </w:p>
    <w:p w:rsidR="00780857" w:rsidRDefault="00780857" w:rsidP="00780857">
      <w:pPr>
        <w:pStyle w:val="a6"/>
        <w:spacing w:after="0" w:line="276" w:lineRule="auto"/>
        <w:ind w:firstLine="0"/>
        <w:jc w:val="right"/>
      </w:pPr>
    </w:p>
    <w:p w:rsidR="00780857" w:rsidRDefault="00780857" w:rsidP="00D33E13">
      <w:pPr>
        <w:pStyle w:val="a6"/>
        <w:spacing w:after="0" w:line="276" w:lineRule="auto"/>
        <w:ind w:left="0" w:firstLine="0"/>
        <w:jc w:val="center"/>
        <w:rPr>
          <w:b/>
        </w:rPr>
      </w:pPr>
      <w:r>
        <w:rPr>
          <w:b/>
        </w:rPr>
        <w:t>Критерии отбора и оценки заявок Участников закупки</w:t>
      </w:r>
    </w:p>
    <w:p w:rsidR="00780857" w:rsidRDefault="00780857" w:rsidP="00D33E13">
      <w:pPr>
        <w:pStyle w:val="a6"/>
        <w:spacing w:after="0" w:line="276" w:lineRule="auto"/>
        <w:ind w:left="0" w:firstLine="0"/>
        <w:jc w:val="right"/>
      </w:pPr>
    </w:p>
    <w:p w:rsidR="00780857" w:rsidRDefault="00780857" w:rsidP="00D33E13">
      <w:pPr>
        <w:pStyle w:val="a6"/>
        <w:numPr>
          <w:ilvl w:val="0"/>
          <w:numId w:val="4"/>
        </w:numPr>
        <w:spacing w:after="0" w:line="276" w:lineRule="auto"/>
        <w:ind w:left="0"/>
        <w:rPr>
          <w:b/>
        </w:rPr>
      </w:pPr>
      <w:r>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780857" w:rsidTr="00D33E13">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780857" w:rsidRDefault="00780857">
            <w:pPr>
              <w:spacing w:line="256" w:lineRule="auto"/>
              <w:jc w:val="center"/>
              <w:rPr>
                <w:szCs w:val="20"/>
                <w:lang w:eastAsia="en-US"/>
              </w:rPr>
            </w:pPr>
          </w:p>
          <w:p w:rsidR="00780857" w:rsidRDefault="00780857">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780857" w:rsidRDefault="00780857">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780857" w:rsidRDefault="00780857">
            <w:pPr>
              <w:spacing w:line="256" w:lineRule="auto"/>
              <w:jc w:val="center"/>
              <w:rPr>
                <w:b/>
                <w:szCs w:val="20"/>
                <w:lang w:eastAsia="en-US"/>
              </w:rPr>
            </w:pPr>
            <w:r>
              <w:rPr>
                <w:b/>
                <w:szCs w:val="20"/>
                <w:lang w:eastAsia="en-US"/>
              </w:rPr>
              <w:t>Наименование оцениваемых сведений</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80857" w:rsidRDefault="00780857">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780857" w:rsidRDefault="00780857">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80857" w:rsidRDefault="00780857">
            <w:pPr>
              <w:spacing w:before="120" w:after="120" w:line="256" w:lineRule="auto"/>
              <w:rPr>
                <w:rFonts w:cs="Tahoma"/>
                <w:szCs w:val="20"/>
                <w:lang w:val="en-US" w:eastAsia="en-US"/>
              </w:rPr>
            </w:pP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80857" w:rsidRDefault="00780857">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780857" w:rsidRDefault="0078085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80857" w:rsidRDefault="00780857">
            <w:pPr>
              <w:spacing w:before="120" w:after="120" w:line="256" w:lineRule="auto"/>
              <w:rPr>
                <w:rFonts w:cs="Tahoma"/>
                <w:szCs w:val="20"/>
                <w:lang w:val="en-US" w:eastAsia="en-US"/>
              </w:rPr>
            </w:pP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Default="00780857">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Default="00780857">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Документы, подтверждающие правоспособность Участника:</w:t>
            </w:r>
          </w:p>
          <w:p w:rsidR="00780857" w:rsidRPr="00D33E13" w:rsidRDefault="00780857">
            <w:pPr>
              <w:spacing w:before="120" w:after="120" w:line="256" w:lineRule="auto"/>
              <w:rPr>
                <w:rFonts w:cs="Tahoma"/>
                <w:szCs w:val="20"/>
                <w:lang w:eastAsia="en-US"/>
              </w:rPr>
            </w:pPr>
            <w:r w:rsidRPr="00D33E13">
              <w:rPr>
                <w:rFonts w:cs="Tahoma"/>
                <w:szCs w:val="20"/>
                <w:lang w:eastAsia="en-US"/>
              </w:rPr>
              <w:t>•</w:t>
            </w:r>
            <w:r w:rsidRPr="00D33E1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80857" w:rsidRPr="00D33E13" w:rsidRDefault="00780857">
            <w:pPr>
              <w:spacing w:before="120" w:after="120" w:line="256" w:lineRule="auto"/>
              <w:rPr>
                <w:rFonts w:cs="Tahoma"/>
                <w:szCs w:val="20"/>
                <w:lang w:eastAsia="en-US"/>
              </w:rPr>
            </w:pPr>
            <w:r w:rsidRPr="00D33E13">
              <w:rPr>
                <w:rFonts w:cs="Tahoma"/>
                <w:szCs w:val="20"/>
                <w:lang w:eastAsia="en-US"/>
              </w:rPr>
              <w:t>•</w:t>
            </w:r>
            <w:r w:rsidRPr="00D33E13">
              <w:rPr>
                <w:rFonts w:cs="Tahoma"/>
                <w:szCs w:val="20"/>
                <w:lang w:eastAsia="en-US"/>
              </w:rPr>
              <w:tab/>
              <w:t>Устав в действующей редакции со всеми изменениями и дополнениями (копия, заверенная Участником),</w:t>
            </w:r>
          </w:p>
          <w:p w:rsidR="00780857" w:rsidRPr="00D33E13" w:rsidRDefault="00780857">
            <w:pPr>
              <w:spacing w:before="120" w:after="120" w:line="256" w:lineRule="auto"/>
              <w:rPr>
                <w:rFonts w:cs="Tahoma"/>
                <w:szCs w:val="20"/>
                <w:lang w:eastAsia="en-US"/>
              </w:rPr>
            </w:pPr>
            <w:r w:rsidRPr="00D33E13">
              <w:rPr>
                <w:rFonts w:cs="Tahoma"/>
                <w:szCs w:val="20"/>
                <w:lang w:eastAsia="en-US"/>
              </w:rPr>
              <w:t>•</w:t>
            </w:r>
            <w:r w:rsidRPr="00D33E1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80857" w:rsidRPr="00D33E13" w:rsidRDefault="00780857">
            <w:pPr>
              <w:spacing w:before="120" w:after="120" w:line="256" w:lineRule="auto"/>
              <w:rPr>
                <w:rFonts w:cs="Tahoma"/>
                <w:szCs w:val="20"/>
                <w:lang w:eastAsia="en-US"/>
              </w:rPr>
            </w:pPr>
            <w:r w:rsidRPr="00D33E13">
              <w:rPr>
                <w:rFonts w:cs="Tahoma"/>
                <w:szCs w:val="20"/>
                <w:lang w:eastAsia="en-US"/>
              </w:rPr>
              <w:t>•</w:t>
            </w:r>
            <w:r w:rsidRPr="00D33E1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Действующая на момент подачи заявки, лицензия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Документы, подтверждающие наличие лицензии на осуществление частной охранной деятельности Участника:</w:t>
            </w:r>
          </w:p>
          <w:p w:rsidR="00780857" w:rsidRPr="00D33E13" w:rsidRDefault="00780857">
            <w:pPr>
              <w:spacing w:before="120" w:after="120" w:line="256" w:lineRule="auto"/>
              <w:rPr>
                <w:rFonts w:cs="Tahoma"/>
                <w:szCs w:val="20"/>
                <w:lang w:eastAsia="en-US"/>
              </w:rPr>
            </w:pPr>
            <w:r w:rsidRPr="00D33E13">
              <w:rPr>
                <w:rFonts w:cs="Tahoma"/>
                <w:szCs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r>
              <w:rPr>
                <w:rFonts w:cs="Tahoma"/>
                <w:szCs w:val="20"/>
                <w:lang w:val="en-US" w:eastAsia="en-US"/>
              </w:rPr>
              <w:t>https</w:t>
            </w:r>
            <w:r w:rsidRPr="00D33E13">
              <w:rPr>
                <w:rFonts w:cs="Tahoma"/>
                <w:szCs w:val="20"/>
                <w:lang w:eastAsia="en-US"/>
              </w:rPr>
              <w:t>://</w:t>
            </w:r>
            <w:proofErr w:type="spellStart"/>
            <w:r>
              <w:rPr>
                <w:rFonts w:cs="Tahoma"/>
                <w:szCs w:val="20"/>
                <w:lang w:val="en-US" w:eastAsia="en-US"/>
              </w:rPr>
              <w:t>rosguard</w:t>
            </w:r>
            <w:proofErr w:type="spellEnd"/>
            <w:r w:rsidRPr="00D33E13">
              <w:rPr>
                <w:rFonts w:cs="Tahoma"/>
                <w:szCs w:val="20"/>
                <w:lang w:eastAsia="en-US"/>
              </w:rPr>
              <w:t>.</w:t>
            </w:r>
            <w:proofErr w:type="spellStart"/>
            <w:r>
              <w:rPr>
                <w:rFonts w:cs="Tahoma"/>
                <w:szCs w:val="20"/>
                <w:lang w:val="en-US" w:eastAsia="en-US"/>
              </w:rPr>
              <w:t>gov</w:t>
            </w:r>
            <w:proofErr w:type="spellEnd"/>
            <w:r w:rsidRPr="00D33E13">
              <w:rPr>
                <w:rFonts w:cs="Tahoma"/>
                <w:szCs w:val="20"/>
                <w:lang w:eastAsia="en-US"/>
              </w:rPr>
              <w:t>.</w:t>
            </w:r>
            <w:proofErr w:type="spellStart"/>
            <w:r>
              <w:rPr>
                <w:rFonts w:cs="Tahoma"/>
                <w:szCs w:val="20"/>
                <w:lang w:val="en-US" w:eastAsia="en-US"/>
              </w:rPr>
              <w:t>ru</w:t>
            </w:r>
            <w:proofErr w:type="spellEnd"/>
            <w:r w:rsidRPr="00D33E13">
              <w:rPr>
                <w:rFonts w:cs="Tahoma"/>
                <w:szCs w:val="20"/>
                <w:lang w:eastAsia="en-US"/>
              </w:rPr>
              <w:t xml:space="preserve">), </w:t>
            </w:r>
          </w:p>
          <w:p w:rsidR="00780857" w:rsidRPr="00D33E13" w:rsidRDefault="00780857">
            <w:pPr>
              <w:spacing w:before="120" w:after="120" w:line="256" w:lineRule="auto"/>
              <w:rPr>
                <w:rFonts w:cs="Tahoma"/>
                <w:szCs w:val="20"/>
                <w:lang w:eastAsia="en-US"/>
              </w:rPr>
            </w:pPr>
            <w:r w:rsidRPr="00D33E13">
              <w:rPr>
                <w:rFonts w:cs="Tahoma"/>
                <w:szCs w:val="20"/>
                <w:lang w:eastAsia="en-US"/>
              </w:rPr>
              <w:t xml:space="preserve">• Выписка из реестра лицензий (типовая форма утверждена постановлением Правительства РФ от 29.12.2020 № 2343), </w:t>
            </w:r>
          </w:p>
          <w:p w:rsidR="00780857" w:rsidRPr="00D33E13" w:rsidRDefault="00780857">
            <w:pPr>
              <w:spacing w:before="120" w:after="120" w:line="256" w:lineRule="auto"/>
              <w:rPr>
                <w:rFonts w:cs="Tahoma"/>
                <w:szCs w:val="20"/>
                <w:lang w:eastAsia="en-US"/>
              </w:rPr>
            </w:pPr>
            <w:r w:rsidRPr="00D33E13">
              <w:rPr>
                <w:rFonts w:cs="Tahoma"/>
                <w:szCs w:val="20"/>
                <w:lang w:eastAsia="en-US"/>
              </w:rPr>
              <w:t>• Скан-копия лицензии (в случае, если лицензия выдана до 01.01.2021).</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Default="00780857">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80857" w:rsidRDefault="00780857">
            <w:pPr>
              <w:spacing w:before="120" w:after="120" w:line="256" w:lineRule="auto"/>
              <w:rPr>
                <w:rFonts w:cs="Tahoma"/>
                <w:szCs w:val="20"/>
                <w:lang w:val="en-US" w:eastAsia="en-US"/>
              </w:rPr>
            </w:pP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1.1.3.1</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D33E13">
              <w:rPr>
                <w:rFonts w:cs="Tahoma"/>
                <w:szCs w:val="20"/>
                <w:lang w:eastAsia="en-US"/>
              </w:rPr>
              <w:lastRenderedPageBreak/>
              <w:t>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lastRenderedPageBreak/>
              <w:t>Декларация о соответствии Участника закупки установленным требованиям</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1.1.3.2</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1.1.3.3</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1.1.3.4</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Справка о кадровых ресурсах.</w:t>
            </w:r>
          </w:p>
          <w:p w:rsidR="00780857" w:rsidRPr="00D33E13" w:rsidRDefault="00780857">
            <w:pPr>
              <w:spacing w:before="120" w:after="120" w:line="256" w:lineRule="auto"/>
              <w:rPr>
                <w:rFonts w:cs="Tahoma"/>
                <w:szCs w:val="20"/>
                <w:lang w:eastAsia="en-US"/>
              </w:rPr>
            </w:pPr>
            <w:r w:rsidRPr="00D33E13">
              <w:rPr>
                <w:rFonts w:cs="Tahoma"/>
                <w:szCs w:val="20"/>
                <w:lang w:eastAsia="en-US"/>
              </w:rPr>
              <w:t>Декларация о соответствии Участника закупки установленным требованиям.</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1.1.3.5</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 xml:space="preserve">Декларация о соответствии Участника закупки установленным требованиям </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 xml:space="preserve">Декларация о соответствии Участника закупки установленным требованиям,  </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Декларация о соответствии Участника закупки установленным требованиям</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33E13" w:rsidRPr="00D33E13" w:rsidRDefault="00D33E13" w:rsidP="00D33E13">
            <w:pPr>
              <w:spacing w:before="120" w:after="120" w:line="256" w:lineRule="auto"/>
              <w:rPr>
                <w:rFonts w:cs="Tahoma"/>
                <w:szCs w:val="20"/>
                <w:lang w:eastAsia="en-US"/>
              </w:rPr>
            </w:pPr>
            <w:r w:rsidRPr="00D33E1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33E13" w:rsidRPr="00D33E13" w:rsidRDefault="00D33E13" w:rsidP="00D33E13">
            <w:pPr>
              <w:spacing w:before="120" w:after="120" w:line="256" w:lineRule="auto"/>
              <w:rPr>
                <w:rFonts w:cs="Tahoma"/>
                <w:szCs w:val="20"/>
                <w:lang w:eastAsia="en-US"/>
              </w:rPr>
            </w:pPr>
            <w:r w:rsidRPr="00D33E13">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80857" w:rsidRDefault="00D33E13" w:rsidP="00D33E13">
            <w:pPr>
              <w:spacing w:before="120" w:after="120" w:line="256" w:lineRule="auto"/>
              <w:rPr>
                <w:rFonts w:cs="Tahoma"/>
                <w:szCs w:val="20"/>
                <w:lang w:eastAsia="en-US"/>
              </w:rPr>
            </w:pPr>
            <w:r w:rsidRPr="00D33E13">
              <w:rPr>
                <w:rFonts w:cs="Tahoma"/>
                <w:szCs w:val="20"/>
                <w:lang w:eastAsia="en-US"/>
              </w:rPr>
              <w:lastRenderedPageBreak/>
              <w:t>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Pr>
                <w:rFonts w:cs="Tahoma"/>
                <w:szCs w:val="20"/>
                <w:lang w:eastAsia="en-US"/>
              </w:rPr>
              <w:t xml:space="preserve">ную не ранее чем за один месяц </w:t>
            </w:r>
            <w:r w:rsidRPr="00D33E13">
              <w:rPr>
                <w:rFonts w:cs="Tahoma"/>
                <w:szCs w:val="20"/>
                <w:lang w:eastAsia="en-US"/>
              </w:rPr>
              <w:t>до дня размещения в ЕИС извещения о проведении закупки или нотариально засвидетельствованную копия такой справки</w:t>
            </w:r>
            <w:r>
              <w:rPr>
                <w:rFonts w:cs="Tahoma"/>
                <w:szCs w:val="20"/>
                <w:lang w:eastAsia="en-US"/>
              </w:rPr>
              <w:t>,</w:t>
            </w:r>
          </w:p>
          <w:p w:rsidR="00D33E13" w:rsidRPr="00D33E13" w:rsidRDefault="00D33E13" w:rsidP="00D33E13">
            <w:pPr>
              <w:spacing w:before="120" w:after="120" w:line="256" w:lineRule="auto"/>
              <w:rPr>
                <w:rFonts w:cs="Tahoma"/>
                <w:szCs w:val="20"/>
                <w:lang w:eastAsia="en-US"/>
              </w:rPr>
            </w:pPr>
            <w:r w:rsidRPr="007065F6">
              <w:rPr>
                <w:rFonts w:cs="Tahoma"/>
                <w:szCs w:val="20"/>
              </w:rPr>
              <w:t>Декларация о соответствии Участника закупки установленным требованиям.</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33E13">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D33E1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Сведения в реестре (-ах) недобросовестных поставщиков</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80857" w:rsidRDefault="00780857">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780857" w:rsidRDefault="0078085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80857" w:rsidRDefault="00780857">
            <w:pPr>
              <w:spacing w:before="120" w:after="120" w:line="256" w:lineRule="auto"/>
              <w:rPr>
                <w:rFonts w:cs="Tahoma"/>
                <w:szCs w:val="20"/>
                <w:lang w:val="en-US" w:eastAsia="en-US"/>
              </w:rPr>
            </w:pP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Default="00780857">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Default="0078085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Документы (копии, заверенные участником), подтверждающие полномочия лица, подписавшего оферту</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Default="0078085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80857" w:rsidRDefault="0078085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содержание оферты в части номенклатуры МТР, вида (перечня) работ или услуг</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содержание оферты в части срока поставки товаров, выполнения работ, оказания услуг</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содержание оферты в части объема поставки, работ, услуг</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содержание оферты в части гарантий качества МТР, работ и услуг, представленных Участником</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Pr="00780857" w:rsidRDefault="00780857">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 xml:space="preserve">Соответствие заявки по своему составу и (или) оформлению </w:t>
            </w:r>
            <w:r w:rsidRPr="00D33E13">
              <w:rPr>
                <w:rFonts w:cs="Tahoma"/>
                <w:szCs w:val="20"/>
                <w:lang w:eastAsia="en-US"/>
              </w:rPr>
              <w:lastRenderedPageBreak/>
              <w:t>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80857" w:rsidRDefault="00780857">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780857" w:rsidRPr="00D33E13" w:rsidRDefault="00780857">
            <w:pPr>
              <w:spacing w:before="120" w:after="120" w:line="256" w:lineRule="auto"/>
              <w:rPr>
                <w:rFonts w:cs="Tahoma"/>
                <w:b/>
                <w:szCs w:val="20"/>
                <w:lang w:eastAsia="en-US"/>
              </w:rPr>
            </w:pPr>
            <w:r w:rsidRPr="00D33E13">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80857" w:rsidRPr="00D33E13" w:rsidRDefault="00780857">
            <w:pPr>
              <w:spacing w:before="120" w:after="120" w:line="256" w:lineRule="auto"/>
              <w:rPr>
                <w:rFonts w:cs="Tahoma"/>
                <w:szCs w:val="20"/>
                <w:lang w:eastAsia="en-US"/>
              </w:rPr>
            </w:pPr>
          </w:p>
        </w:tc>
      </w:tr>
      <w:tr w:rsidR="00780857" w:rsidTr="00D33E13">
        <w:trPr>
          <w:trHeight w:val="210"/>
        </w:trPr>
        <w:tc>
          <w:tcPr>
            <w:tcW w:w="993" w:type="dxa"/>
            <w:tcBorders>
              <w:top w:val="single" w:sz="4" w:space="0" w:color="auto"/>
              <w:left w:val="single" w:sz="4" w:space="0" w:color="auto"/>
              <w:bottom w:val="single" w:sz="4" w:space="0" w:color="auto"/>
              <w:right w:val="single" w:sz="4" w:space="0" w:color="auto"/>
            </w:tcBorders>
            <w:hideMark/>
          </w:tcPr>
          <w:p w:rsidR="00780857" w:rsidRDefault="00780857">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780857" w:rsidRPr="00D33E13" w:rsidRDefault="00780857">
            <w:pPr>
              <w:spacing w:before="120" w:after="120" w:line="256" w:lineRule="auto"/>
              <w:rPr>
                <w:rFonts w:cs="Tahoma"/>
                <w:szCs w:val="20"/>
                <w:lang w:eastAsia="en-US"/>
              </w:rPr>
            </w:pPr>
            <w:r w:rsidRPr="00D33E1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780857" w:rsidRPr="00D33E13" w:rsidRDefault="00780857" w:rsidP="00780857">
      <w:pPr>
        <w:spacing w:after="160" w:line="256" w:lineRule="auto"/>
      </w:pPr>
      <w:r w:rsidRPr="00D33E13">
        <w:br w:type="page"/>
      </w:r>
    </w:p>
    <w:p w:rsidR="00780857" w:rsidRDefault="00780857" w:rsidP="00780857">
      <w:pPr>
        <w:ind w:left="-993"/>
      </w:pPr>
    </w:p>
    <w:p w:rsidR="00780857" w:rsidRDefault="00780857" w:rsidP="00780857">
      <w:pPr>
        <w:pStyle w:val="a6"/>
        <w:numPr>
          <w:ilvl w:val="0"/>
          <w:numId w:val="4"/>
        </w:numPr>
        <w:spacing w:after="0" w:line="276" w:lineRule="auto"/>
        <w:jc w:val="left"/>
        <w:rPr>
          <w:b/>
        </w:rPr>
      </w:pPr>
      <w:r>
        <w:rPr>
          <w:b/>
        </w:rPr>
        <w:t xml:space="preserve"> Критерии оценки и весовые коэффициенты</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52"/>
        <w:gridCol w:w="4253"/>
      </w:tblGrid>
      <w:tr w:rsidR="00D33E13" w:rsidTr="00D33E13">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D33E13" w:rsidRDefault="00D33E13">
            <w:pPr>
              <w:spacing w:line="276" w:lineRule="auto"/>
              <w:jc w:val="center"/>
              <w:rPr>
                <w:lang w:eastAsia="en-US"/>
              </w:rPr>
            </w:pPr>
            <w:r>
              <w:rPr>
                <w:lang w:eastAsia="en-US"/>
              </w:rPr>
              <w:t>№</w:t>
            </w:r>
          </w:p>
          <w:p w:rsidR="00D33E13" w:rsidRDefault="00D33E13">
            <w:pPr>
              <w:spacing w:line="276" w:lineRule="auto"/>
              <w:jc w:val="center"/>
              <w:rPr>
                <w:lang w:eastAsia="en-US"/>
              </w:rPr>
            </w:pPr>
          </w:p>
        </w:tc>
        <w:tc>
          <w:tcPr>
            <w:tcW w:w="4252" w:type="dxa"/>
            <w:tcBorders>
              <w:top w:val="single" w:sz="4" w:space="0" w:color="auto"/>
              <w:left w:val="single" w:sz="4" w:space="0" w:color="auto"/>
              <w:bottom w:val="single" w:sz="4" w:space="0" w:color="auto"/>
              <w:right w:val="single" w:sz="4" w:space="0" w:color="auto"/>
            </w:tcBorders>
            <w:vAlign w:val="center"/>
          </w:tcPr>
          <w:p w:rsidR="00D33E13" w:rsidRDefault="00D33E13">
            <w:pPr>
              <w:spacing w:line="276" w:lineRule="auto"/>
              <w:jc w:val="center"/>
              <w:rPr>
                <w:lang w:eastAsia="en-US"/>
              </w:rPr>
            </w:pPr>
            <w:r>
              <w:rPr>
                <w:lang w:eastAsia="en-US"/>
              </w:rPr>
              <w:t>Критерий</w:t>
            </w:r>
          </w:p>
          <w:p w:rsidR="00D33E13" w:rsidRDefault="00D33E13">
            <w:pPr>
              <w:spacing w:line="276" w:lineRule="auto"/>
              <w:jc w:val="center"/>
              <w:rPr>
                <w:lang w:eastAsia="en-US"/>
              </w:rPr>
            </w:pPr>
          </w:p>
        </w:tc>
        <w:tc>
          <w:tcPr>
            <w:tcW w:w="4253" w:type="dxa"/>
            <w:tcBorders>
              <w:top w:val="single" w:sz="4" w:space="0" w:color="auto"/>
              <w:left w:val="single" w:sz="4" w:space="0" w:color="auto"/>
              <w:bottom w:val="single" w:sz="4" w:space="0" w:color="auto"/>
              <w:right w:val="single" w:sz="4" w:space="0" w:color="auto"/>
            </w:tcBorders>
            <w:vAlign w:val="center"/>
          </w:tcPr>
          <w:p w:rsidR="00D33E13" w:rsidRDefault="00D33E13">
            <w:pPr>
              <w:spacing w:line="276" w:lineRule="auto"/>
              <w:jc w:val="center"/>
              <w:rPr>
                <w:lang w:eastAsia="en-US"/>
              </w:rPr>
            </w:pPr>
            <w:bookmarkStart w:id="0" w:name="_GoBack"/>
            <w:bookmarkEnd w:id="0"/>
            <w:r>
              <w:rPr>
                <w:lang w:eastAsia="en-US"/>
              </w:rPr>
              <w:t>Весовой коэффициент критерия</w:t>
            </w:r>
          </w:p>
          <w:p w:rsidR="00D33E13" w:rsidRDefault="00D33E13">
            <w:pPr>
              <w:spacing w:line="276" w:lineRule="auto"/>
              <w:jc w:val="center"/>
              <w:rPr>
                <w:lang w:eastAsia="en-US"/>
              </w:rPr>
            </w:pPr>
          </w:p>
        </w:tc>
      </w:tr>
      <w:tr w:rsidR="00D33E13" w:rsidTr="00D33E13">
        <w:trPr>
          <w:trHeight w:val="210"/>
        </w:trPr>
        <w:tc>
          <w:tcPr>
            <w:tcW w:w="851" w:type="dxa"/>
            <w:tcBorders>
              <w:top w:val="single" w:sz="4" w:space="0" w:color="auto"/>
              <w:left w:val="single" w:sz="4" w:space="0" w:color="auto"/>
              <w:bottom w:val="single" w:sz="4" w:space="0" w:color="auto"/>
              <w:right w:val="single" w:sz="4" w:space="0" w:color="auto"/>
            </w:tcBorders>
            <w:hideMark/>
          </w:tcPr>
          <w:p w:rsidR="00D33E13" w:rsidRDefault="00D33E13">
            <w:pPr>
              <w:spacing w:line="276" w:lineRule="auto"/>
              <w:rPr>
                <w:b/>
                <w:lang w:eastAsia="en-US"/>
              </w:rPr>
            </w:pPr>
            <w:r>
              <w:rPr>
                <w:b/>
                <w:lang w:val="en-US" w:eastAsia="en-US"/>
              </w:rPr>
              <w:t xml:space="preserve">1 </w:t>
            </w:r>
          </w:p>
        </w:tc>
        <w:tc>
          <w:tcPr>
            <w:tcW w:w="4252" w:type="dxa"/>
            <w:tcBorders>
              <w:top w:val="single" w:sz="4" w:space="0" w:color="auto"/>
              <w:left w:val="single" w:sz="4" w:space="0" w:color="auto"/>
              <w:bottom w:val="single" w:sz="4" w:space="0" w:color="auto"/>
              <w:right w:val="single" w:sz="4" w:space="0" w:color="auto"/>
            </w:tcBorders>
            <w:hideMark/>
          </w:tcPr>
          <w:p w:rsidR="00D33E13" w:rsidRDefault="00D33E13">
            <w:pPr>
              <w:spacing w:line="276" w:lineRule="auto"/>
              <w:rPr>
                <w:b/>
                <w:lang w:val="en-US" w:eastAsia="en-US"/>
              </w:rPr>
            </w:pPr>
            <w:r>
              <w:rPr>
                <w:b/>
                <w:lang w:val="en-US" w:eastAsia="en-US"/>
              </w:rPr>
              <w:t>Стоимость предложения</w:t>
            </w:r>
          </w:p>
        </w:tc>
        <w:tc>
          <w:tcPr>
            <w:tcW w:w="4253" w:type="dxa"/>
            <w:tcBorders>
              <w:top w:val="single" w:sz="4" w:space="0" w:color="auto"/>
              <w:left w:val="single" w:sz="4" w:space="0" w:color="auto"/>
              <w:bottom w:val="single" w:sz="4" w:space="0" w:color="auto"/>
              <w:right w:val="single" w:sz="4" w:space="0" w:color="auto"/>
            </w:tcBorders>
            <w:hideMark/>
          </w:tcPr>
          <w:p w:rsidR="00D33E13" w:rsidRDefault="00D33E13">
            <w:pPr>
              <w:spacing w:line="276" w:lineRule="auto"/>
              <w:rPr>
                <w:lang w:eastAsia="en-US"/>
              </w:rPr>
            </w:pPr>
            <w:r>
              <w:rPr>
                <w:lang w:val="en-US" w:eastAsia="en-US"/>
              </w:rPr>
              <w:t>0,8</w:t>
            </w:r>
          </w:p>
        </w:tc>
      </w:tr>
      <w:tr w:rsidR="00D33E13" w:rsidTr="00D33E13">
        <w:trPr>
          <w:trHeight w:val="210"/>
        </w:trPr>
        <w:tc>
          <w:tcPr>
            <w:tcW w:w="851" w:type="dxa"/>
            <w:tcBorders>
              <w:top w:val="single" w:sz="4" w:space="0" w:color="auto"/>
              <w:left w:val="single" w:sz="4" w:space="0" w:color="auto"/>
              <w:bottom w:val="single" w:sz="4" w:space="0" w:color="auto"/>
              <w:right w:val="single" w:sz="4" w:space="0" w:color="auto"/>
            </w:tcBorders>
            <w:hideMark/>
          </w:tcPr>
          <w:p w:rsidR="00D33E13" w:rsidRDefault="00D33E13">
            <w:pPr>
              <w:spacing w:line="276" w:lineRule="auto"/>
              <w:rPr>
                <w:b/>
                <w:lang w:eastAsia="en-US"/>
              </w:rPr>
            </w:pPr>
            <w:r>
              <w:rPr>
                <w:b/>
                <w:lang w:val="en-US" w:eastAsia="en-US"/>
              </w:rPr>
              <w:t xml:space="preserve">2 </w:t>
            </w:r>
          </w:p>
        </w:tc>
        <w:tc>
          <w:tcPr>
            <w:tcW w:w="4252" w:type="dxa"/>
            <w:tcBorders>
              <w:top w:val="single" w:sz="4" w:space="0" w:color="auto"/>
              <w:left w:val="single" w:sz="4" w:space="0" w:color="auto"/>
              <w:bottom w:val="single" w:sz="4" w:space="0" w:color="auto"/>
              <w:right w:val="single" w:sz="4" w:space="0" w:color="auto"/>
            </w:tcBorders>
            <w:hideMark/>
          </w:tcPr>
          <w:p w:rsidR="00D33E13" w:rsidRDefault="00D33E13">
            <w:pPr>
              <w:spacing w:line="276" w:lineRule="auto"/>
              <w:rPr>
                <w:b/>
                <w:lang w:val="en-US" w:eastAsia="en-US"/>
              </w:rPr>
            </w:pPr>
            <w:r>
              <w:rPr>
                <w:b/>
                <w:lang w:val="en-US" w:eastAsia="en-US"/>
              </w:rPr>
              <w:t>Условия оплаты</w:t>
            </w:r>
          </w:p>
        </w:tc>
        <w:tc>
          <w:tcPr>
            <w:tcW w:w="4253" w:type="dxa"/>
            <w:tcBorders>
              <w:top w:val="single" w:sz="4" w:space="0" w:color="auto"/>
              <w:left w:val="single" w:sz="4" w:space="0" w:color="auto"/>
              <w:bottom w:val="single" w:sz="4" w:space="0" w:color="auto"/>
              <w:right w:val="single" w:sz="4" w:space="0" w:color="auto"/>
            </w:tcBorders>
            <w:hideMark/>
          </w:tcPr>
          <w:p w:rsidR="00D33E13" w:rsidRDefault="00D33E13">
            <w:pPr>
              <w:spacing w:line="276" w:lineRule="auto"/>
              <w:rPr>
                <w:lang w:eastAsia="en-US"/>
              </w:rPr>
            </w:pPr>
            <w:r>
              <w:rPr>
                <w:lang w:val="en-US" w:eastAsia="en-US"/>
              </w:rPr>
              <w:t>0,2</w:t>
            </w:r>
          </w:p>
        </w:tc>
      </w:tr>
    </w:tbl>
    <w:p w:rsidR="00780857" w:rsidRDefault="00780857" w:rsidP="00780857">
      <w:pPr>
        <w:ind w:left="-993"/>
        <w:rPr>
          <w:lang w:val="en-US"/>
        </w:rPr>
      </w:pPr>
    </w:p>
    <w:p w:rsidR="00780857" w:rsidRDefault="00780857" w:rsidP="00780857">
      <w:pPr>
        <w:pStyle w:val="aa"/>
        <w:rPr>
          <w:sz w:val="16"/>
          <w:szCs w:val="16"/>
        </w:rPr>
      </w:pPr>
    </w:p>
    <w:p w:rsidR="00780857" w:rsidRDefault="00780857" w:rsidP="00780857">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частников используется четырехбал</w:t>
      </w:r>
      <w:r>
        <w:rPr>
          <w:rFonts w:ascii="Tahoma" w:hAnsi="Tahoma" w:cs="Tahoma"/>
          <w:sz w:val="20"/>
          <w:lang w:val="ru-RU"/>
        </w:rPr>
        <w:t>л</w:t>
      </w:r>
      <w:r>
        <w:rPr>
          <w:rFonts w:ascii="Tahoma" w:hAnsi="Tahoma" w:cs="Tahoma"/>
          <w:sz w:val="20"/>
        </w:rPr>
        <w:t xml:space="preserve">ьная </w:t>
      </w:r>
      <w:r>
        <w:rPr>
          <w:rFonts w:ascii="Tahoma" w:hAnsi="Tahoma" w:cs="Tahoma"/>
          <w:sz w:val="20"/>
          <w:lang w:val="ru-RU"/>
        </w:rPr>
        <w:t>шкала</w:t>
      </w:r>
      <w:r>
        <w:rPr>
          <w:rFonts w:ascii="Tahoma" w:hAnsi="Tahoma" w:cs="Tahoma"/>
          <w:sz w:val="20"/>
        </w:rPr>
        <w:t>.</w:t>
      </w:r>
    </w:p>
    <w:p w:rsidR="00780857" w:rsidRDefault="00780857" w:rsidP="00780857">
      <w:pPr>
        <w:pStyle w:val="a"/>
        <w:numPr>
          <w:ilvl w:val="0"/>
          <w:numId w:val="0"/>
        </w:numPr>
        <w:tabs>
          <w:tab w:val="left" w:pos="708"/>
        </w:tabs>
        <w:spacing w:line="240" w:lineRule="auto"/>
        <w:ind w:firstLine="708"/>
        <w:rPr>
          <w:rFonts w:ascii="Tahoma" w:hAnsi="Tahoma" w:cs="Tahoma"/>
          <w:sz w:val="20"/>
          <w:lang w:val="ru-RU"/>
        </w:rPr>
      </w:pPr>
    </w:p>
    <w:p w:rsidR="00780857" w:rsidRDefault="00780857" w:rsidP="00780857">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780857" w:rsidRDefault="00780857" w:rsidP="00780857">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780857" w:rsidRDefault="00780857" w:rsidP="00780857">
      <w:pPr>
        <w:pStyle w:val="a"/>
        <w:numPr>
          <w:ilvl w:val="0"/>
          <w:numId w:val="0"/>
        </w:numPr>
        <w:tabs>
          <w:tab w:val="left" w:pos="708"/>
        </w:tabs>
        <w:spacing w:line="240" w:lineRule="auto"/>
        <w:rPr>
          <w:rFonts w:ascii="Tahoma" w:hAnsi="Tahoma" w:cs="Tahoma"/>
          <w:b/>
          <w:sz w:val="20"/>
          <w:lang w:val="ru-RU"/>
        </w:rPr>
      </w:pPr>
    </w:p>
    <w:p w:rsidR="00780857" w:rsidRDefault="00780857" w:rsidP="00780857">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По критерию «Стоимость предложения» оценка производится в соответствии со следующей методикой:</w:t>
      </w:r>
    </w:p>
    <w:p w:rsidR="00780857" w:rsidRDefault="00780857" w:rsidP="00780857">
      <w:pPr>
        <w:pStyle w:val="a"/>
        <w:numPr>
          <w:ilvl w:val="0"/>
          <w:numId w:val="0"/>
        </w:numPr>
        <w:tabs>
          <w:tab w:val="left" w:pos="708"/>
        </w:tabs>
        <w:spacing w:line="240" w:lineRule="auto"/>
        <w:rPr>
          <w:rFonts w:ascii="Tahoma" w:hAnsi="Tahoma" w:cs="Tahoma"/>
          <w:sz w:val="20"/>
          <w:lang w:val="ru-RU"/>
        </w:rPr>
      </w:pPr>
    </w:p>
    <w:p w:rsidR="00780857" w:rsidRDefault="00780857" w:rsidP="00780857">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780857" w:rsidRDefault="00780857" w:rsidP="00780857">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780857" w:rsidRDefault="00780857" w:rsidP="00780857">
      <w:pPr>
        <w:pStyle w:val="a"/>
        <w:numPr>
          <w:ilvl w:val="0"/>
          <w:numId w:val="0"/>
        </w:numPr>
        <w:tabs>
          <w:tab w:val="left" w:pos="708"/>
        </w:tabs>
        <w:spacing w:line="240" w:lineRule="auto"/>
        <w:rPr>
          <w:rFonts w:ascii="Tahoma" w:hAnsi="Tahoma" w:cs="Tahoma"/>
          <w:sz w:val="20"/>
        </w:rPr>
      </w:pPr>
    </w:p>
    <w:p w:rsidR="00780857" w:rsidRDefault="00780857" w:rsidP="00780857">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780857" w:rsidRDefault="00780857" w:rsidP="00780857">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780857" w:rsidRDefault="00780857" w:rsidP="00780857">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780857" w:rsidRDefault="00780857" w:rsidP="00780857">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780857" w:rsidRDefault="00780857" w:rsidP="00780857">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780857" w:rsidRDefault="00780857" w:rsidP="00780857">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780857" w:rsidRDefault="00780857" w:rsidP="00780857">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780857" w:rsidRDefault="00780857" w:rsidP="00780857">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780857" w:rsidRDefault="00780857" w:rsidP="00780857">
      <w:pPr>
        <w:pStyle w:val="a"/>
        <w:numPr>
          <w:ilvl w:val="0"/>
          <w:numId w:val="0"/>
        </w:numPr>
        <w:tabs>
          <w:tab w:val="left" w:pos="708"/>
        </w:tabs>
        <w:spacing w:line="240" w:lineRule="auto"/>
        <w:rPr>
          <w:rFonts w:ascii="Tahoma" w:hAnsi="Tahoma" w:cs="Tahoma"/>
          <w:sz w:val="20"/>
        </w:rPr>
      </w:pPr>
    </w:p>
    <w:p w:rsidR="00780857" w:rsidRDefault="00780857" w:rsidP="00780857">
      <w:pPr>
        <w:ind w:firstLine="708"/>
        <w:rPr>
          <w:rFonts w:cs="Tahoma"/>
        </w:rPr>
      </w:pPr>
      <w:r>
        <w:rPr>
          <w:rFonts w:cs="Tahoma"/>
        </w:rPr>
        <w:t>Балльная оценка каждой заявки по критерию «Стоимость предложения» определяется по следующей формуле:</w:t>
      </w:r>
    </w:p>
    <w:p w:rsidR="00780857" w:rsidRDefault="00780857" w:rsidP="00780857">
      <w:pPr>
        <w:rPr>
          <w:rFonts w:cs="Tahoma"/>
        </w:rPr>
      </w:pPr>
    </w:p>
    <w:p w:rsidR="00780857" w:rsidRDefault="00780857" w:rsidP="00780857">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80857" w:rsidRDefault="00780857" w:rsidP="00780857">
      <w:pPr>
        <w:rPr>
          <w:rFonts w:cs="Tahoma"/>
        </w:rPr>
      </w:pPr>
    </w:p>
    <w:p w:rsidR="00780857" w:rsidRDefault="00780857" w:rsidP="00780857">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80857" w:rsidRDefault="00E27401" w:rsidP="00780857">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780857">
        <w:rPr>
          <w:rFonts w:cs="Tahoma"/>
        </w:rPr>
        <w:t xml:space="preserve"> – минимальная дисконтированная стоимость заявки, предложенная Участниками;</w:t>
      </w:r>
    </w:p>
    <w:p w:rsidR="00780857" w:rsidRDefault="00E27401" w:rsidP="00780857">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780857">
        <w:rPr>
          <w:rFonts w:cs="Tahoma"/>
        </w:rPr>
        <w:t xml:space="preserve">     – дисконтированная стоимость заявки </w:t>
      </w:r>
      <w:proofErr w:type="spellStart"/>
      <w:r w:rsidR="00780857">
        <w:rPr>
          <w:rFonts w:cs="Tahoma"/>
          <w:lang w:val="en-US"/>
        </w:rPr>
        <w:t>i</w:t>
      </w:r>
      <w:proofErr w:type="spellEnd"/>
      <w:r w:rsidR="00780857">
        <w:rPr>
          <w:rFonts w:cs="Tahoma"/>
        </w:rPr>
        <w:t>-го участника;</w:t>
      </w:r>
    </w:p>
    <w:p w:rsidR="00780857" w:rsidRDefault="00780857" w:rsidP="00780857">
      <w:pPr>
        <w:rPr>
          <w:rFonts w:cs="Tahoma"/>
        </w:rPr>
      </w:pPr>
      <w:proofErr w:type="spellStart"/>
      <w:r>
        <w:rPr>
          <w:rFonts w:cs="Tahoma"/>
          <w:lang w:val="en-US"/>
        </w:rPr>
        <w:t>i</w:t>
      </w:r>
      <w:proofErr w:type="spellEnd"/>
      <w:r>
        <w:rPr>
          <w:rFonts w:cs="Tahoma"/>
        </w:rPr>
        <w:t xml:space="preserve"> – участник закупки.</w:t>
      </w:r>
    </w:p>
    <w:p w:rsidR="00780857" w:rsidRDefault="00780857" w:rsidP="00780857">
      <w:pPr>
        <w:rPr>
          <w:rFonts w:cs="Tahoma"/>
        </w:rPr>
      </w:pPr>
    </w:p>
    <w:p w:rsidR="00780857" w:rsidRDefault="00780857" w:rsidP="00780857">
      <w:pPr>
        <w:ind w:firstLine="708"/>
        <w:rPr>
          <w:rFonts w:cs="Tahoma"/>
        </w:rPr>
      </w:pPr>
      <w:r>
        <w:rPr>
          <w:rFonts w:cs="Tahoma"/>
        </w:rPr>
        <w:t>Значения баллов, полученные по данной формуле, округляются до четырех знаков после запятой.</w:t>
      </w:r>
    </w:p>
    <w:p w:rsidR="00780857" w:rsidRDefault="00780857" w:rsidP="00780857">
      <w:pPr>
        <w:pStyle w:val="a"/>
        <w:numPr>
          <w:ilvl w:val="0"/>
          <w:numId w:val="0"/>
        </w:numPr>
        <w:tabs>
          <w:tab w:val="left" w:pos="708"/>
        </w:tabs>
        <w:spacing w:line="240" w:lineRule="auto"/>
        <w:rPr>
          <w:rFonts w:ascii="Tahoma" w:hAnsi="Tahoma" w:cs="Tahoma"/>
          <w:b/>
          <w:sz w:val="20"/>
          <w:lang w:val="ru-RU"/>
        </w:rPr>
      </w:pPr>
    </w:p>
    <w:p w:rsidR="00780857" w:rsidRDefault="00780857" w:rsidP="00780857">
      <w:pPr>
        <w:pStyle w:val="a"/>
        <w:numPr>
          <w:ilvl w:val="0"/>
          <w:numId w:val="0"/>
        </w:numPr>
        <w:tabs>
          <w:tab w:val="left" w:pos="708"/>
        </w:tabs>
        <w:spacing w:line="240" w:lineRule="auto"/>
        <w:rPr>
          <w:rFonts w:ascii="Tahoma" w:hAnsi="Tahoma" w:cs="Tahoma"/>
          <w:sz w:val="20"/>
        </w:rPr>
      </w:pPr>
    </w:p>
    <w:p w:rsidR="00780857" w:rsidRDefault="00780857" w:rsidP="00780857">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критерия «Условия оплаты» </w:t>
      </w:r>
      <w:r>
        <w:rPr>
          <w:rFonts w:ascii="Tahoma" w:hAnsi="Tahoma" w:cs="Tahoma"/>
          <w:sz w:val="20"/>
          <w:lang w:val="ru-RU"/>
        </w:rPr>
        <w:t>определяются</w:t>
      </w:r>
      <w:r>
        <w:rPr>
          <w:rFonts w:ascii="Tahoma" w:hAnsi="Tahoma" w:cs="Tahoma"/>
          <w:sz w:val="20"/>
        </w:rPr>
        <w:t xml:space="preserve"> по четырехбал</w:t>
      </w:r>
      <w:r>
        <w:rPr>
          <w:rFonts w:ascii="Tahoma" w:hAnsi="Tahoma" w:cs="Tahoma"/>
          <w:sz w:val="20"/>
          <w:lang w:val="ru-RU"/>
        </w:rPr>
        <w:t>л</w:t>
      </w:r>
      <w:proofErr w:type="spellStart"/>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780857" w:rsidRDefault="00780857" w:rsidP="00780857">
      <w:pPr>
        <w:spacing w:line="276" w:lineRule="auto"/>
        <w:jc w:val="center"/>
        <w:rPr>
          <w:rFonts w:cs="Tahoma"/>
          <w:b/>
          <w:color w:val="000000"/>
        </w:rPr>
      </w:pPr>
    </w:p>
    <w:p w:rsidR="00780857" w:rsidRDefault="00780857" w:rsidP="00780857">
      <w:pPr>
        <w:jc w:val="center"/>
        <w:rPr>
          <w:rFonts w:eastAsia="Calibri" w:cs="Tahoma"/>
          <w:lang w:eastAsia="en-US"/>
        </w:rPr>
      </w:pPr>
      <w:r>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780857" w:rsidTr="00780857">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80857" w:rsidRDefault="00780857">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780857" w:rsidRDefault="00780857">
            <w:pPr>
              <w:spacing w:line="256" w:lineRule="auto"/>
              <w:jc w:val="center"/>
              <w:rPr>
                <w:rFonts w:cs="Tahoma"/>
                <w:b/>
                <w:lang w:eastAsia="en-US"/>
              </w:rPr>
            </w:pPr>
            <w:r>
              <w:rPr>
                <w:rFonts w:cs="Tahoma"/>
                <w:b/>
                <w:lang w:eastAsia="en-US"/>
              </w:rPr>
              <w:t>Баллы</w:t>
            </w:r>
          </w:p>
        </w:tc>
      </w:tr>
      <w:tr w:rsidR="00780857" w:rsidTr="00780857">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80857" w:rsidRDefault="00780857">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80857" w:rsidRDefault="00780857">
            <w:pPr>
              <w:spacing w:line="256" w:lineRule="auto"/>
              <w:jc w:val="center"/>
              <w:rPr>
                <w:rFonts w:eastAsia="Calibri" w:cs="Tahoma"/>
                <w:color w:val="000000"/>
                <w:lang w:eastAsia="en-US"/>
              </w:rPr>
            </w:pPr>
            <w:r>
              <w:rPr>
                <w:rFonts w:eastAsia="Calibri" w:cs="Tahoma"/>
                <w:b/>
                <w:bCs/>
                <w:color w:val="000000"/>
                <w:lang w:eastAsia="en-US"/>
              </w:rPr>
              <w:t>1</w:t>
            </w:r>
          </w:p>
        </w:tc>
      </w:tr>
      <w:tr w:rsidR="00780857" w:rsidTr="00780857">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80857" w:rsidRDefault="00780857">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80857" w:rsidRDefault="00780857">
            <w:pPr>
              <w:spacing w:line="256" w:lineRule="auto"/>
              <w:jc w:val="center"/>
              <w:rPr>
                <w:rFonts w:eastAsia="Calibri" w:cs="Tahoma"/>
                <w:color w:val="000000"/>
                <w:lang w:eastAsia="en-US"/>
              </w:rPr>
            </w:pPr>
            <w:r>
              <w:rPr>
                <w:rFonts w:eastAsia="Calibri" w:cs="Tahoma"/>
                <w:b/>
                <w:bCs/>
                <w:color w:val="000000"/>
                <w:lang w:eastAsia="en-US"/>
              </w:rPr>
              <w:t>2</w:t>
            </w:r>
          </w:p>
        </w:tc>
      </w:tr>
      <w:tr w:rsidR="00780857" w:rsidTr="00780857">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80857" w:rsidRDefault="00780857">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80857" w:rsidRDefault="00780857">
            <w:pPr>
              <w:spacing w:line="256" w:lineRule="auto"/>
              <w:jc w:val="center"/>
              <w:rPr>
                <w:rFonts w:eastAsia="Calibri" w:cs="Tahoma"/>
                <w:color w:val="000000"/>
                <w:lang w:eastAsia="en-US"/>
              </w:rPr>
            </w:pPr>
            <w:r>
              <w:rPr>
                <w:rFonts w:eastAsia="Calibri" w:cs="Tahoma"/>
                <w:b/>
                <w:bCs/>
                <w:color w:val="000000"/>
                <w:lang w:eastAsia="en-US"/>
              </w:rPr>
              <w:t>3</w:t>
            </w:r>
          </w:p>
        </w:tc>
      </w:tr>
      <w:tr w:rsidR="00780857" w:rsidTr="00780857">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780857" w:rsidRDefault="00780857">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780857" w:rsidRDefault="00780857">
            <w:pPr>
              <w:spacing w:line="256" w:lineRule="auto"/>
              <w:jc w:val="center"/>
              <w:rPr>
                <w:rFonts w:eastAsia="Calibri" w:cs="Tahoma"/>
                <w:color w:val="000000"/>
                <w:lang w:eastAsia="en-US"/>
              </w:rPr>
            </w:pPr>
            <w:r>
              <w:rPr>
                <w:rFonts w:eastAsia="Calibri" w:cs="Tahoma"/>
                <w:b/>
                <w:bCs/>
                <w:color w:val="000000"/>
                <w:lang w:eastAsia="en-US"/>
              </w:rPr>
              <w:t>4</w:t>
            </w:r>
          </w:p>
        </w:tc>
      </w:tr>
    </w:tbl>
    <w:p w:rsidR="00780857" w:rsidRDefault="00780857" w:rsidP="00780857">
      <w:pPr>
        <w:spacing w:before="120" w:after="120"/>
        <w:jc w:val="both"/>
        <w:rPr>
          <w:b/>
          <w:bCs/>
          <w:lang w:eastAsia="en-US"/>
        </w:rPr>
      </w:pPr>
    </w:p>
    <w:p w:rsidR="00780857" w:rsidRDefault="00780857" w:rsidP="00780857">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780857" w:rsidRDefault="00780857" w:rsidP="00780857">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780857" w:rsidRDefault="00780857" w:rsidP="00780857">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780857" w:rsidRDefault="00780857" w:rsidP="00780857">
      <w:pPr>
        <w:ind w:firstLine="709"/>
        <w:jc w:val="both"/>
        <w:rPr>
          <w:rFonts w:cs="Tahoma"/>
          <w:szCs w:val="20"/>
        </w:rPr>
      </w:pPr>
    </w:p>
    <w:p w:rsidR="00780857" w:rsidRDefault="00780857" w:rsidP="00780857">
      <w:pPr>
        <w:shd w:val="clear" w:color="auto" w:fill="FFFFFF"/>
        <w:ind w:left="780" w:right="159"/>
        <w:contextualSpacing/>
        <w:jc w:val="center"/>
        <w:rPr>
          <w:rFonts w:cs="Tahoma"/>
        </w:rPr>
      </w:pPr>
      <w:proofErr w:type="spellStart"/>
      <w:r>
        <w:rPr>
          <w:rFonts w:cs="Tahoma"/>
          <w:lang w:val="en-US"/>
        </w:rPr>
        <w:t>Ri</w:t>
      </w:r>
      <w:proofErr w:type="spellEnd"/>
      <w:r>
        <w:rPr>
          <w:rFonts w:cs="Tahoma"/>
        </w:rPr>
        <w:t xml:space="preserve"> = К1*</w:t>
      </w:r>
      <w:r>
        <w:rPr>
          <w:rFonts w:cs="Tahoma"/>
          <w:lang w:val="en-US"/>
        </w:rPr>
        <w:t>V</w:t>
      </w:r>
      <w:r>
        <w:rPr>
          <w:rFonts w:cs="Tahoma"/>
        </w:rPr>
        <w:t>1+К2*</w:t>
      </w:r>
      <w:r>
        <w:rPr>
          <w:rFonts w:cs="Tahoma"/>
          <w:lang w:val="en-US"/>
        </w:rPr>
        <w:t>V</w:t>
      </w:r>
      <w:r>
        <w:rPr>
          <w:rFonts w:cs="Tahoma"/>
        </w:rPr>
        <w:t>2</w:t>
      </w:r>
    </w:p>
    <w:p w:rsidR="00780857" w:rsidRDefault="00780857" w:rsidP="00780857">
      <w:pPr>
        <w:shd w:val="clear" w:color="auto" w:fill="FFFFFF"/>
        <w:ind w:left="780" w:right="159"/>
        <w:contextualSpacing/>
        <w:jc w:val="center"/>
        <w:rPr>
          <w:rFonts w:cs="Tahoma"/>
        </w:rPr>
      </w:pPr>
    </w:p>
    <w:p w:rsidR="00780857" w:rsidRDefault="00780857" w:rsidP="00780857">
      <w:pPr>
        <w:shd w:val="clear" w:color="auto" w:fill="FFFFFF"/>
        <w:ind w:left="780" w:right="159"/>
        <w:contextualSpacing/>
        <w:rPr>
          <w:rFonts w:cs="Tahoma"/>
        </w:rPr>
      </w:pPr>
      <w:r>
        <w:rPr>
          <w:rFonts w:cs="Tahoma"/>
        </w:rPr>
        <w:tab/>
        <w:t>где:</w:t>
      </w:r>
    </w:p>
    <w:p w:rsidR="00780857" w:rsidRDefault="00780857" w:rsidP="00780857">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780857" w:rsidRDefault="00780857" w:rsidP="00780857">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780857" w:rsidRDefault="00780857" w:rsidP="00780857">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критерия "Стоимость предложения"</w:t>
      </w:r>
    </w:p>
    <w:p w:rsidR="00780857" w:rsidRDefault="00780857" w:rsidP="00780857">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780857" w:rsidRDefault="00780857" w:rsidP="00780857">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критерия "Условия оплаты"</w:t>
      </w:r>
    </w:p>
    <w:p w:rsidR="00780857" w:rsidRDefault="00780857" w:rsidP="00780857">
      <w:pPr>
        <w:rPr>
          <w:rFonts w:eastAsia="Calibri" w:cs="Tahoma"/>
          <w:lang w:eastAsia="en-US"/>
        </w:rPr>
      </w:pPr>
    </w:p>
    <w:p w:rsidR="00780857" w:rsidRDefault="00780857" w:rsidP="00780857"/>
    <w:p w:rsidR="000920F1" w:rsidRDefault="000920F1"/>
    <w:sectPr w:rsidR="000920F1" w:rsidSect="00780857">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401" w:rsidRDefault="00E27401" w:rsidP="00780857">
      <w:r>
        <w:separator/>
      </w:r>
    </w:p>
  </w:endnote>
  <w:endnote w:type="continuationSeparator" w:id="0">
    <w:p w:rsidR="00E27401" w:rsidRDefault="00E27401" w:rsidP="00780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57" w:rsidRDefault="00780857" w:rsidP="00780857">
    <w:pPr>
      <w:pStyle w:val="af0"/>
    </w:pPr>
  </w:p>
  <w:p w:rsidR="00780857" w:rsidRPr="00780857" w:rsidRDefault="00780857" w:rsidP="0078085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401" w:rsidRDefault="00E27401" w:rsidP="00780857">
      <w:r>
        <w:separator/>
      </w:r>
    </w:p>
  </w:footnote>
  <w:footnote w:type="continuationSeparator" w:id="0">
    <w:p w:rsidR="00E27401" w:rsidRDefault="00E27401" w:rsidP="007808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857"/>
    <w:rsid w:val="000920F1"/>
    <w:rsid w:val="00780857"/>
    <w:rsid w:val="00D33E13"/>
    <w:rsid w:val="00E27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60464"/>
  <w15:chartTrackingRefBased/>
  <w15:docId w15:val="{38FEB56C-16A3-4CC4-ACD3-06030C2B6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085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80857"/>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780857"/>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8085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780857"/>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80857"/>
    <w:pPr>
      <w:spacing w:after="200"/>
      <w:ind w:left="720" w:firstLine="360"/>
      <w:contextualSpacing/>
      <w:jc w:val="both"/>
    </w:pPr>
    <w:rPr>
      <w:lang w:eastAsia="en-US"/>
    </w:rPr>
  </w:style>
  <w:style w:type="character" w:styleId="a7">
    <w:name w:val="annotation reference"/>
    <w:basedOn w:val="a3"/>
    <w:uiPriority w:val="99"/>
    <w:semiHidden/>
    <w:unhideWhenUsed/>
    <w:rsid w:val="00780857"/>
    <w:rPr>
      <w:sz w:val="16"/>
      <w:szCs w:val="16"/>
    </w:rPr>
  </w:style>
  <w:style w:type="paragraph" w:styleId="a8">
    <w:name w:val="annotation text"/>
    <w:basedOn w:val="a2"/>
    <w:link w:val="a9"/>
    <w:uiPriority w:val="99"/>
    <w:semiHidden/>
    <w:unhideWhenUsed/>
    <w:rsid w:val="00780857"/>
    <w:rPr>
      <w:szCs w:val="20"/>
    </w:rPr>
  </w:style>
  <w:style w:type="character" w:customStyle="1" w:styleId="a9">
    <w:name w:val="Текст примечания Знак"/>
    <w:basedOn w:val="a3"/>
    <w:link w:val="a8"/>
    <w:uiPriority w:val="99"/>
    <w:semiHidden/>
    <w:rsid w:val="00780857"/>
    <w:rPr>
      <w:rFonts w:ascii="Tahoma" w:eastAsia="Times New Roman" w:hAnsi="Tahoma" w:cs="Times New Roman"/>
      <w:sz w:val="20"/>
      <w:szCs w:val="20"/>
      <w:lang w:eastAsia="ru-RU"/>
    </w:rPr>
  </w:style>
  <w:style w:type="paragraph" w:styleId="aa">
    <w:name w:val="footnote text"/>
    <w:basedOn w:val="a2"/>
    <w:link w:val="ab"/>
    <w:rsid w:val="00780857"/>
    <w:rPr>
      <w:szCs w:val="20"/>
    </w:rPr>
  </w:style>
  <w:style w:type="character" w:customStyle="1" w:styleId="ab">
    <w:name w:val="Текст сноски Знак"/>
    <w:basedOn w:val="a3"/>
    <w:link w:val="aa"/>
    <w:rsid w:val="00780857"/>
    <w:rPr>
      <w:rFonts w:ascii="Tahoma" w:eastAsia="Times New Roman" w:hAnsi="Tahoma" w:cs="Times New Roman"/>
      <w:sz w:val="20"/>
      <w:szCs w:val="20"/>
      <w:lang w:eastAsia="ru-RU"/>
    </w:rPr>
  </w:style>
  <w:style w:type="character" w:styleId="ac">
    <w:name w:val="footnote reference"/>
    <w:rsid w:val="00780857"/>
    <w:rPr>
      <w:vertAlign w:val="superscript"/>
    </w:rPr>
  </w:style>
  <w:style w:type="paragraph" w:customStyle="1" w:styleId="a">
    <w:name w:val="Пункт"/>
    <w:basedOn w:val="a2"/>
    <w:link w:val="11"/>
    <w:rsid w:val="00780857"/>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780857"/>
    <w:pPr>
      <w:numPr>
        <w:ilvl w:val="3"/>
      </w:numPr>
      <w:tabs>
        <w:tab w:val="clear" w:pos="1134"/>
        <w:tab w:val="num" w:pos="360"/>
      </w:tabs>
    </w:pPr>
  </w:style>
  <w:style w:type="paragraph" w:customStyle="1" w:styleId="a1">
    <w:name w:val="Подподпункт"/>
    <w:basedOn w:val="a0"/>
    <w:rsid w:val="00780857"/>
    <w:pPr>
      <w:numPr>
        <w:ilvl w:val="4"/>
      </w:numPr>
      <w:tabs>
        <w:tab w:val="clear" w:pos="1701"/>
        <w:tab w:val="num" w:pos="360"/>
      </w:tabs>
    </w:pPr>
  </w:style>
  <w:style w:type="character" w:customStyle="1" w:styleId="11">
    <w:name w:val="Пункт Знак1"/>
    <w:link w:val="a"/>
    <w:rsid w:val="00780857"/>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0857"/>
    <w:rPr>
      <w:color w:val="808080"/>
    </w:rPr>
  </w:style>
  <w:style w:type="paragraph" w:styleId="ae">
    <w:name w:val="header"/>
    <w:basedOn w:val="a2"/>
    <w:link w:val="af"/>
    <w:uiPriority w:val="99"/>
    <w:unhideWhenUsed/>
    <w:rsid w:val="00780857"/>
    <w:pPr>
      <w:tabs>
        <w:tab w:val="center" w:pos="4677"/>
        <w:tab w:val="right" w:pos="9355"/>
      </w:tabs>
    </w:pPr>
  </w:style>
  <w:style w:type="character" w:customStyle="1" w:styleId="af">
    <w:name w:val="Верхний колонтитул Знак"/>
    <w:basedOn w:val="a3"/>
    <w:link w:val="ae"/>
    <w:uiPriority w:val="99"/>
    <w:rsid w:val="00780857"/>
    <w:rPr>
      <w:rFonts w:ascii="Tahoma" w:eastAsia="Times New Roman" w:hAnsi="Tahoma" w:cs="Times New Roman"/>
      <w:sz w:val="20"/>
      <w:szCs w:val="24"/>
      <w:lang w:eastAsia="ru-RU"/>
    </w:rPr>
  </w:style>
  <w:style w:type="paragraph" w:styleId="af0">
    <w:name w:val="footer"/>
    <w:basedOn w:val="a2"/>
    <w:link w:val="af1"/>
    <w:uiPriority w:val="99"/>
    <w:unhideWhenUsed/>
    <w:rsid w:val="00780857"/>
    <w:pPr>
      <w:tabs>
        <w:tab w:val="center" w:pos="4677"/>
        <w:tab w:val="right" w:pos="9355"/>
      </w:tabs>
    </w:pPr>
  </w:style>
  <w:style w:type="character" w:customStyle="1" w:styleId="af1">
    <w:name w:val="Нижний колонтитул Знак"/>
    <w:basedOn w:val="a3"/>
    <w:link w:val="af0"/>
    <w:uiPriority w:val="99"/>
    <w:rsid w:val="00780857"/>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243">
      <w:bodyDiv w:val="1"/>
      <w:marLeft w:val="0"/>
      <w:marRight w:val="0"/>
      <w:marTop w:val="0"/>
      <w:marBottom w:val="0"/>
      <w:divBdr>
        <w:top w:val="none" w:sz="0" w:space="0" w:color="auto"/>
        <w:left w:val="none" w:sz="0" w:space="0" w:color="auto"/>
        <w:bottom w:val="none" w:sz="0" w:space="0" w:color="auto"/>
        <w:right w:val="none" w:sz="0" w:space="0" w:color="auto"/>
      </w:divBdr>
    </w:div>
    <w:div w:id="20278244">
      <w:bodyDiv w:val="1"/>
      <w:marLeft w:val="0"/>
      <w:marRight w:val="0"/>
      <w:marTop w:val="0"/>
      <w:marBottom w:val="0"/>
      <w:divBdr>
        <w:top w:val="none" w:sz="0" w:space="0" w:color="auto"/>
        <w:left w:val="none" w:sz="0" w:space="0" w:color="auto"/>
        <w:bottom w:val="none" w:sz="0" w:space="0" w:color="auto"/>
        <w:right w:val="none" w:sz="0" w:space="0" w:color="auto"/>
      </w:divBdr>
    </w:div>
    <w:div w:id="108353222">
      <w:bodyDiv w:val="1"/>
      <w:marLeft w:val="0"/>
      <w:marRight w:val="0"/>
      <w:marTop w:val="0"/>
      <w:marBottom w:val="0"/>
      <w:divBdr>
        <w:top w:val="none" w:sz="0" w:space="0" w:color="auto"/>
        <w:left w:val="none" w:sz="0" w:space="0" w:color="auto"/>
        <w:bottom w:val="none" w:sz="0" w:space="0" w:color="auto"/>
        <w:right w:val="none" w:sz="0" w:space="0" w:color="auto"/>
      </w:divBdr>
    </w:div>
    <w:div w:id="174612044">
      <w:bodyDiv w:val="1"/>
      <w:marLeft w:val="0"/>
      <w:marRight w:val="0"/>
      <w:marTop w:val="0"/>
      <w:marBottom w:val="0"/>
      <w:divBdr>
        <w:top w:val="none" w:sz="0" w:space="0" w:color="auto"/>
        <w:left w:val="none" w:sz="0" w:space="0" w:color="auto"/>
        <w:bottom w:val="none" w:sz="0" w:space="0" w:color="auto"/>
        <w:right w:val="none" w:sz="0" w:space="0" w:color="auto"/>
      </w:divBdr>
    </w:div>
    <w:div w:id="194925582">
      <w:bodyDiv w:val="1"/>
      <w:marLeft w:val="0"/>
      <w:marRight w:val="0"/>
      <w:marTop w:val="0"/>
      <w:marBottom w:val="0"/>
      <w:divBdr>
        <w:top w:val="none" w:sz="0" w:space="0" w:color="auto"/>
        <w:left w:val="none" w:sz="0" w:space="0" w:color="auto"/>
        <w:bottom w:val="none" w:sz="0" w:space="0" w:color="auto"/>
        <w:right w:val="none" w:sz="0" w:space="0" w:color="auto"/>
      </w:divBdr>
    </w:div>
    <w:div w:id="206720809">
      <w:bodyDiv w:val="1"/>
      <w:marLeft w:val="0"/>
      <w:marRight w:val="0"/>
      <w:marTop w:val="0"/>
      <w:marBottom w:val="0"/>
      <w:divBdr>
        <w:top w:val="none" w:sz="0" w:space="0" w:color="auto"/>
        <w:left w:val="none" w:sz="0" w:space="0" w:color="auto"/>
        <w:bottom w:val="none" w:sz="0" w:space="0" w:color="auto"/>
        <w:right w:val="none" w:sz="0" w:space="0" w:color="auto"/>
      </w:divBdr>
    </w:div>
    <w:div w:id="207037399">
      <w:bodyDiv w:val="1"/>
      <w:marLeft w:val="0"/>
      <w:marRight w:val="0"/>
      <w:marTop w:val="0"/>
      <w:marBottom w:val="0"/>
      <w:divBdr>
        <w:top w:val="none" w:sz="0" w:space="0" w:color="auto"/>
        <w:left w:val="none" w:sz="0" w:space="0" w:color="auto"/>
        <w:bottom w:val="none" w:sz="0" w:space="0" w:color="auto"/>
        <w:right w:val="none" w:sz="0" w:space="0" w:color="auto"/>
      </w:divBdr>
    </w:div>
    <w:div w:id="233393941">
      <w:bodyDiv w:val="1"/>
      <w:marLeft w:val="0"/>
      <w:marRight w:val="0"/>
      <w:marTop w:val="0"/>
      <w:marBottom w:val="0"/>
      <w:divBdr>
        <w:top w:val="none" w:sz="0" w:space="0" w:color="auto"/>
        <w:left w:val="none" w:sz="0" w:space="0" w:color="auto"/>
        <w:bottom w:val="none" w:sz="0" w:space="0" w:color="auto"/>
        <w:right w:val="none" w:sz="0" w:space="0" w:color="auto"/>
      </w:divBdr>
    </w:div>
    <w:div w:id="240144963">
      <w:bodyDiv w:val="1"/>
      <w:marLeft w:val="0"/>
      <w:marRight w:val="0"/>
      <w:marTop w:val="0"/>
      <w:marBottom w:val="0"/>
      <w:divBdr>
        <w:top w:val="none" w:sz="0" w:space="0" w:color="auto"/>
        <w:left w:val="none" w:sz="0" w:space="0" w:color="auto"/>
        <w:bottom w:val="none" w:sz="0" w:space="0" w:color="auto"/>
        <w:right w:val="none" w:sz="0" w:space="0" w:color="auto"/>
      </w:divBdr>
    </w:div>
    <w:div w:id="254830158">
      <w:bodyDiv w:val="1"/>
      <w:marLeft w:val="0"/>
      <w:marRight w:val="0"/>
      <w:marTop w:val="0"/>
      <w:marBottom w:val="0"/>
      <w:divBdr>
        <w:top w:val="none" w:sz="0" w:space="0" w:color="auto"/>
        <w:left w:val="none" w:sz="0" w:space="0" w:color="auto"/>
        <w:bottom w:val="none" w:sz="0" w:space="0" w:color="auto"/>
        <w:right w:val="none" w:sz="0" w:space="0" w:color="auto"/>
      </w:divBdr>
    </w:div>
    <w:div w:id="297490872">
      <w:bodyDiv w:val="1"/>
      <w:marLeft w:val="0"/>
      <w:marRight w:val="0"/>
      <w:marTop w:val="0"/>
      <w:marBottom w:val="0"/>
      <w:divBdr>
        <w:top w:val="none" w:sz="0" w:space="0" w:color="auto"/>
        <w:left w:val="none" w:sz="0" w:space="0" w:color="auto"/>
        <w:bottom w:val="none" w:sz="0" w:space="0" w:color="auto"/>
        <w:right w:val="none" w:sz="0" w:space="0" w:color="auto"/>
      </w:divBdr>
    </w:div>
    <w:div w:id="320737323">
      <w:bodyDiv w:val="1"/>
      <w:marLeft w:val="0"/>
      <w:marRight w:val="0"/>
      <w:marTop w:val="0"/>
      <w:marBottom w:val="0"/>
      <w:divBdr>
        <w:top w:val="none" w:sz="0" w:space="0" w:color="auto"/>
        <w:left w:val="none" w:sz="0" w:space="0" w:color="auto"/>
        <w:bottom w:val="none" w:sz="0" w:space="0" w:color="auto"/>
        <w:right w:val="none" w:sz="0" w:space="0" w:color="auto"/>
      </w:divBdr>
    </w:div>
    <w:div w:id="369116419">
      <w:bodyDiv w:val="1"/>
      <w:marLeft w:val="0"/>
      <w:marRight w:val="0"/>
      <w:marTop w:val="0"/>
      <w:marBottom w:val="0"/>
      <w:divBdr>
        <w:top w:val="none" w:sz="0" w:space="0" w:color="auto"/>
        <w:left w:val="none" w:sz="0" w:space="0" w:color="auto"/>
        <w:bottom w:val="none" w:sz="0" w:space="0" w:color="auto"/>
        <w:right w:val="none" w:sz="0" w:space="0" w:color="auto"/>
      </w:divBdr>
    </w:div>
    <w:div w:id="475680086">
      <w:bodyDiv w:val="1"/>
      <w:marLeft w:val="0"/>
      <w:marRight w:val="0"/>
      <w:marTop w:val="0"/>
      <w:marBottom w:val="0"/>
      <w:divBdr>
        <w:top w:val="none" w:sz="0" w:space="0" w:color="auto"/>
        <w:left w:val="none" w:sz="0" w:space="0" w:color="auto"/>
        <w:bottom w:val="none" w:sz="0" w:space="0" w:color="auto"/>
        <w:right w:val="none" w:sz="0" w:space="0" w:color="auto"/>
      </w:divBdr>
    </w:div>
    <w:div w:id="567955361">
      <w:bodyDiv w:val="1"/>
      <w:marLeft w:val="0"/>
      <w:marRight w:val="0"/>
      <w:marTop w:val="0"/>
      <w:marBottom w:val="0"/>
      <w:divBdr>
        <w:top w:val="none" w:sz="0" w:space="0" w:color="auto"/>
        <w:left w:val="none" w:sz="0" w:space="0" w:color="auto"/>
        <w:bottom w:val="none" w:sz="0" w:space="0" w:color="auto"/>
        <w:right w:val="none" w:sz="0" w:space="0" w:color="auto"/>
      </w:divBdr>
    </w:div>
    <w:div w:id="629635225">
      <w:bodyDiv w:val="1"/>
      <w:marLeft w:val="0"/>
      <w:marRight w:val="0"/>
      <w:marTop w:val="0"/>
      <w:marBottom w:val="0"/>
      <w:divBdr>
        <w:top w:val="none" w:sz="0" w:space="0" w:color="auto"/>
        <w:left w:val="none" w:sz="0" w:space="0" w:color="auto"/>
        <w:bottom w:val="none" w:sz="0" w:space="0" w:color="auto"/>
        <w:right w:val="none" w:sz="0" w:space="0" w:color="auto"/>
      </w:divBdr>
    </w:div>
    <w:div w:id="631714636">
      <w:bodyDiv w:val="1"/>
      <w:marLeft w:val="0"/>
      <w:marRight w:val="0"/>
      <w:marTop w:val="0"/>
      <w:marBottom w:val="0"/>
      <w:divBdr>
        <w:top w:val="none" w:sz="0" w:space="0" w:color="auto"/>
        <w:left w:val="none" w:sz="0" w:space="0" w:color="auto"/>
        <w:bottom w:val="none" w:sz="0" w:space="0" w:color="auto"/>
        <w:right w:val="none" w:sz="0" w:space="0" w:color="auto"/>
      </w:divBdr>
    </w:div>
    <w:div w:id="636616882">
      <w:bodyDiv w:val="1"/>
      <w:marLeft w:val="0"/>
      <w:marRight w:val="0"/>
      <w:marTop w:val="0"/>
      <w:marBottom w:val="0"/>
      <w:divBdr>
        <w:top w:val="none" w:sz="0" w:space="0" w:color="auto"/>
        <w:left w:val="none" w:sz="0" w:space="0" w:color="auto"/>
        <w:bottom w:val="none" w:sz="0" w:space="0" w:color="auto"/>
        <w:right w:val="none" w:sz="0" w:space="0" w:color="auto"/>
      </w:divBdr>
    </w:div>
    <w:div w:id="750126545">
      <w:bodyDiv w:val="1"/>
      <w:marLeft w:val="0"/>
      <w:marRight w:val="0"/>
      <w:marTop w:val="0"/>
      <w:marBottom w:val="0"/>
      <w:divBdr>
        <w:top w:val="none" w:sz="0" w:space="0" w:color="auto"/>
        <w:left w:val="none" w:sz="0" w:space="0" w:color="auto"/>
        <w:bottom w:val="none" w:sz="0" w:space="0" w:color="auto"/>
        <w:right w:val="none" w:sz="0" w:space="0" w:color="auto"/>
      </w:divBdr>
    </w:div>
    <w:div w:id="805044609">
      <w:bodyDiv w:val="1"/>
      <w:marLeft w:val="0"/>
      <w:marRight w:val="0"/>
      <w:marTop w:val="0"/>
      <w:marBottom w:val="0"/>
      <w:divBdr>
        <w:top w:val="none" w:sz="0" w:space="0" w:color="auto"/>
        <w:left w:val="none" w:sz="0" w:space="0" w:color="auto"/>
        <w:bottom w:val="none" w:sz="0" w:space="0" w:color="auto"/>
        <w:right w:val="none" w:sz="0" w:space="0" w:color="auto"/>
      </w:divBdr>
    </w:div>
    <w:div w:id="823083746">
      <w:bodyDiv w:val="1"/>
      <w:marLeft w:val="0"/>
      <w:marRight w:val="0"/>
      <w:marTop w:val="0"/>
      <w:marBottom w:val="0"/>
      <w:divBdr>
        <w:top w:val="none" w:sz="0" w:space="0" w:color="auto"/>
        <w:left w:val="none" w:sz="0" w:space="0" w:color="auto"/>
        <w:bottom w:val="none" w:sz="0" w:space="0" w:color="auto"/>
        <w:right w:val="none" w:sz="0" w:space="0" w:color="auto"/>
      </w:divBdr>
    </w:div>
    <w:div w:id="888347631">
      <w:bodyDiv w:val="1"/>
      <w:marLeft w:val="0"/>
      <w:marRight w:val="0"/>
      <w:marTop w:val="0"/>
      <w:marBottom w:val="0"/>
      <w:divBdr>
        <w:top w:val="none" w:sz="0" w:space="0" w:color="auto"/>
        <w:left w:val="none" w:sz="0" w:space="0" w:color="auto"/>
        <w:bottom w:val="none" w:sz="0" w:space="0" w:color="auto"/>
        <w:right w:val="none" w:sz="0" w:space="0" w:color="auto"/>
      </w:divBdr>
    </w:div>
    <w:div w:id="892422805">
      <w:bodyDiv w:val="1"/>
      <w:marLeft w:val="0"/>
      <w:marRight w:val="0"/>
      <w:marTop w:val="0"/>
      <w:marBottom w:val="0"/>
      <w:divBdr>
        <w:top w:val="none" w:sz="0" w:space="0" w:color="auto"/>
        <w:left w:val="none" w:sz="0" w:space="0" w:color="auto"/>
        <w:bottom w:val="none" w:sz="0" w:space="0" w:color="auto"/>
        <w:right w:val="none" w:sz="0" w:space="0" w:color="auto"/>
      </w:divBdr>
    </w:div>
    <w:div w:id="895626728">
      <w:bodyDiv w:val="1"/>
      <w:marLeft w:val="0"/>
      <w:marRight w:val="0"/>
      <w:marTop w:val="0"/>
      <w:marBottom w:val="0"/>
      <w:divBdr>
        <w:top w:val="none" w:sz="0" w:space="0" w:color="auto"/>
        <w:left w:val="none" w:sz="0" w:space="0" w:color="auto"/>
        <w:bottom w:val="none" w:sz="0" w:space="0" w:color="auto"/>
        <w:right w:val="none" w:sz="0" w:space="0" w:color="auto"/>
      </w:divBdr>
    </w:div>
    <w:div w:id="905647845">
      <w:bodyDiv w:val="1"/>
      <w:marLeft w:val="0"/>
      <w:marRight w:val="0"/>
      <w:marTop w:val="0"/>
      <w:marBottom w:val="0"/>
      <w:divBdr>
        <w:top w:val="none" w:sz="0" w:space="0" w:color="auto"/>
        <w:left w:val="none" w:sz="0" w:space="0" w:color="auto"/>
        <w:bottom w:val="none" w:sz="0" w:space="0" w:color="auto"/>
        <w:right w:val="none" w:sz="0" w:space="0" w:color="auto"/>
      </w:divBdr>
    </w:div>
    <w:div w:id="907306299">
      <w:bodyDiv w:val="1"/>
      <w:marLeft w:val="0"/>
      <w:marRight w:val="0"/>
      <w:marTop w:val="0"/>
      <w:marBottom w:val="0"/>
      <w:divBdr>
        <w:top w:val="none" w:sz="0" w:space="0" w:color="auto"/>
        <w:left w:val="none" w:sz="0" w:space="0" w:color="auto"/>
        <w:bottom w:val="none" w:sz="0" w:space="0" w:color="auto"/>
        <w:right w:val="none" w:sz="0" w:space="0" w:color="auto"/>
      </w:divBdr>
    </w:div>
    <w:div w:id="966739754">
      <w:bodyDiv w:val="1"/>
      <w:marLeft w:val="0"/>
      <w:marRight w:val="0"/>
      <w:marTop w:val="0"/>
      <w:marBottom w:val="0"/>
      <w:divBdr>
        <w:top w:val="none" w:sz="0" w:space="0" w:color="auto"/>
        <w:left w:val="none" w:sz="0" w:space="0" w:color="auto"/>
        <w:bottom w:val="none" w:sz="0" w:space="0" w:color="auto"/>
        <w:right w:val="none" w:sz="0" w:space="0" w:color="auto"/>
      </w:divBdr>
    </w:div>
    <w:div w:id="1085956243">
      <w:bodyDiv w:val="1"/>
      <w:marLeft w:val="0"/>
      <w:marRight w:val="0"/>
      <w:marTop w:val="0"/>
      <w:marBottom w:val="0"/>
      <w:divBdr>
        <w:top w:val="none" w:sz="0" w:space="0" w:color="auto"/>
        <w:left w:val="none" w:sz="0" w:space="0" w:color="auto"/>
        <w:bottom w:val="none" w:sz="0" w:space="0" w:color="auto"/>
        <w:right w:val="none" w:sz="0" w:space="0" w:color="auto"/>
      </w:divBdr>
    </w:div>
    <w:div w:id="1514803568">
      <w:bodyDiv w:val="1"/>
      <w:marLeft w:val="0"/>
      <w:marRight w:val="0"/>
      <w:marTop w:val="0"/>
      <w:marBottom w:val="0"/>
      <w:divBdr>
        <w:top w:val="none" w:sz="0" w:space="0" w:color="auto"/>
        <w:left w:val="none" w:sz="0" w:space="0" w:color="auto"/>
        <w:bottom w:val="none" w:sz="0" w:space="0" w:color="auto"/>
        <w:right w:val="none" w:sz="0" w:space="0" w:color="auto"/>
      </w:divBdr>
    </w:div>
    <w:div w:id="1576620815">
      <w:bodyDiv w:val="1"/>
      <w:marLeft w:val="0"/>
      <w:marRight w:val="0"/>
      <w:marTop w:val="0"/>
      <w:marBottom w:val="0"/>
      <w:divBdr>
        <w:top w:val="none" w:sz="0" w:space="0" w:color="auto"/>
        <w:left w:val="none" w:sz="0" w:space="0" w:color="auto"/>
        <w:bottom w:val="none" w:sz="0" w:space="0" w:color="auto"/>
        <w:right w:val="none" w:sz="0" w:space="0" w:color="auto"/>
      </w:divBdr>
    </w:div>
    <w:div w:id="1725910385">
      <w:bodyDiv w:val="1"/>
      <w:marLeft w:val="0"/>
      <w:marRight w:val="0"/>
      <w:marTop w:val="0"/>
      <w:marBottom w:val="0"/>
      <w:divBdr>
        <w:top w:val="none" w:sz="0" w:space="0" w:color="auto"/>
        <w:left w:val="none" w:sz="0" w:space="0" w:color="auto"/>
        <w:bottom w:val="none" w:sz="0" w:space="0" w:color="auto"/>
        <w:right w:val="none" w:sz="0" w:space="0" w:color="auto"/>
      </w:divBdr>
    </w:div>
    <w:div w:id="1766266686">
      <w:bodyDiv w:val="1"/>
      <w:marLeft w:val="0"/>
      <w:marRight w:val="0"/>
      <w:marTop w:val="0"/>
      <w:marBottom w:val="0"/>
      <w:divBdr>
        <w:top w:val="none" w:sz="0" w:space="0" w:color="auto"/>
        <w:left w:val="none" w:sz="0" w:space="0" w:color="auto"/>
        <w:bottom w:val="none" w:sz="0" w:space="0" w:color="auto"/>
        <w:right w:val="none" w:sz="0" w:space="0" w:color="auto"/>
      </w:divBdr>
    </w:div>
    <w:div w:id="1826580717">
      <w:bodyDiv w:val="1"/>
      <w:marLeft w:val="0"/>
      <w:marRight w:val="0"/>
      <w:marTop w:val="0"/>
      <w:marBottom w:val="0"/>
      <w:divBdr>
        <w:top w:val="none" w:sz="0" w:space="0" w:color="auto"/>
        <w:left w:val="none" w:sz="0" w:space="0" w:color="auto"/>
        <w:bottom w:val="none" w:sz="0" w:space="0" w:color="auto"/>
        <w:right w:val="none" w:sz="0" w:space="0" w:color="auto"/>
      </w:divBdr>
    </w:div>
    <w:div w:id="1876652438">
      <w:bodyDiv w:val="1"/>
      <w:marLeft w:val="0"/>
      <w:marRight w:val="0"/>
      <w:marTop w:val="0"/>
      <w:marBottom w:val="0"/>
      <w:divBdr>
        <w:top w:val="none" w:sz="0" w:space="0" w:color="auto"/>
        <w:left w:val="none" w:sz="0" w:space="0" w:color="auto"/>
        <w:bottom w:val="none" w:sz="0" w:space="0" w:color="auto"/>
        <w:right w:val="none" w:sz="0" w:space="0" w:color="auto"/>
      </w:divBdr>
    </w:div>
    <w:div w:id="1913420990">
      <w:bodyDiv w:val="1"/>
      <w:marLeft w:val="0"/>
      <w:marRight w:val="0"/>
      <w:marTop w:val="0"/>
      <w:marBottom w:val="0"/>
      <w:divBdr>
        <w:top w:val="none" w:sz="0" w:space="0" w:color="auto"/>
        <w:left w:val="none" w:sz="0" w:space="0" w:color="auto"/>
        <w:bottom w:val="none" w:sz="0" w:space="0" w:color="auto"/>
        <w:right w:val="none" w:sz="0" w:space="0" w:color="auto"/>
      </w:divBdr>
    </w:div>
    <w:div w:id="1976569582">
      <w:bodyDiv w:val="1"/>
      <w:marLeft w:val="0"/>
      <w:marRight w:val="0"/>
      <w:marTop w:val="0"/>
      <w:marBottom w:val="0"/>
      <w:divBdr>
        <w:top w:val="none" w:sz="0" w:space="0" w:color="auto"/>
        <w:left w:val="none" w:sz="0" w:space="0" w:color="auto"/>
        <w:bottom w:val="none" w:sz="0" w:space="0" w:color="auto"/>
        <w:right w:val="none" w:sz="0" w:space="0" w:color="auto"/>
      </w:divBdr>
    </w:div>
    <w:div w:id="200627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2058</Words>
  <Characters>11733</Characters>
  <Application>Microsoft Office Word</Application>
  <DocSecurity>0</DocSecurity>
  <Lines>97</Lines>
  <Paragraphs>27</Paragraphs>
  <ScaleCrop>false</ScaleCrop>
  <Company>ies</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2023-01-17T06:31:00Z</dcterms:created>
  <dcterms:modified xsi:type="dcterms:W3CDTF">2023-01-17T06:43:00Z</dcterms:modified>
</cp:coreProperties>
</file>